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乔趁永</w:t>
      </w:r>
      <w:r>
        <w:rPr>
          <w:rFonts w:hint="eastAsia"/>
          <w:sz w:val="15"/>
          <w:szCs w:val="15"/>
          <w:highlight w:val="none"/>
        </w:rPr>
        <w:t>，</w:t>
      </w:r>
      <w:r>
        <w:rPr>
          <w:rFonts w:hint="eastAsia"/>
          <w:sz w:val="15"/>
          <w:szCs w:val="15"/>
          <w:highlight w:val="none"/>
          <w:lang w:val="en-US" w:eastAsia="zh-CN"/>
        </w:rPr>
        <w:t>132337197012043051</w:t>
      </w:r>
      <w:r>
        <w:rPr>
          <w:rFonts w:hint="eastAsia"/>
          <w:sz w:val="15"/>
          <w:szCs w:val="15"/>
        </w:rPr>
        <w:t xml:space="preserve">  </w:t>
      </w:r>
      <w:r>
        <w:rPr>
          <w:rFonts w:hint="eastAsia"/>
          <w:sz w:val="15"/>
          <w:szCs w:val="15"/>
          <w:lang w:val="en-US" w:eastAsia="zh-CN"/>
        </w:rPr>
        <w:t>冀AVU248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