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牛卫祥</w:t>
      </w:r>
      <w:r>
        <w:rPr>
          <w:rFonts w:hint="eastAsia"/>
          <w:sz w:val="15"/>
          <w:szCs w:val="15"/>
          <w:highlight w:val="none"/>
        </w:rPr>
        <w:t>，</w:t>
      </w:r>
      <w:r>
        <w:rPr>
          <w:rFonts w:hint="eastAsia"/>
          <w:sz w:val="15"/>
          <w:szCs w:val="15"/>
          <w:highlight w:val="none"/>
          <w:lang w:val="en-US" w:eastAsia="zh-CN"/>
        </w:rPr>
        <w:t>132336197208130812</w:t>
      </w:r>
      <w:r>
        <w:rPr>
          <w:rFonts w:hint="eastAsia"/>
          <w:sz w:val="15"/>
          <w:szCs w:val="15"/>
        </w:rPr>
        <w:t xml:space="preserve">  </w:t>
      </w:r>
      <w:r>
        <w:rPr>
          <w:rFonts w:hint="eastAsia"/>
          <w:sz w:val="15"/>
          <w:szCs w:val="15"/>
          <w:lang w:val="en-US" w:eastAsia="zh-CN"/>
        </w:rPr>
        <w:t>冀A2K520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