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刘增梅</w:t>
      </w:r>
      <w:r>
        <w:rPr>
          <w:rFonts w:hint="eastAsia"/>
          <w:sz w:val="15"/>
          <w:szCs w:val="15"/>
          <w:highlight w:val="none"/>
        </w:rPr>
        <w:t>，</w:t>
      </w:r>
      <w:r>
        <w:rPr>
          <w:rFonts w:hint="eastAsia"/>
          <w:sz w:val="15"/>
          <w:szCs w:val="15"/>
          <w:highlight w:val="none"/>
          <w:lang w:val="en-US" w:eastAsia="zh-CN"/>
        </w:rPr>
        <w:t>132336197108041628</w:t>
      </w:r>
      <w:r>
        <w:rPr>
          <w:rFonts w:hint="eastAsia"/>
          <w:sz w:val="15"/>
          <w:szCs w:val="15"/>
        </w:rPr>
        <w:t xml:space="preserve">  </w:t>
      </w:r>
      <w:r>
        <w:rPr>
          <w:rFonts w:hint="eastAsia"/>
          <w:sz w:val="15"/>
          <w:szCs w:val="15"/>
          <w:lang w:val="en-US" w:eastAsia="zh-CN"/>
        </w:rPr>
        <w:t>冀A093AP</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