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康雪霞</w:t>
      </w:r>
      <w:r>
        <w:rPr>
          <w:rFonts w:hint="eastAsia"/>
          <w:sz w:val="15"/>
          <w:szCs w:val="15"/>
          <w:highlight w:val="none"/>
        </w:rPr>
        <w:t>，</w:t>
      </w:r>
      <w:r>
        <w:rPr>
          <w:rFonts w:hint="eastAsia"/>
          <w:sz w:val="15"/>
          <w:szCs w:val="15"/>
          <w:highlight w:val="none"/>
          <w:lang w:val="en-US" w:eastAsia="zh-CN"/>
        </w:rPr>
        <w:t>132335198112080580</w:t>
      </w:r>
      <w:r>
        <w:rPr>
          <w:rFonts w:hint="eastAsia"/>
          <w:sz w:val="15"/>
          <w:szCs w:val="15"/>
        </w:rPr>
        <w:t xml:space="preserve">  </w:t>
      </w:r>
      <w:r>
        <w:rPr>
          <w:rFonts w:hint="eastAsia"/>
          <w:sz w:val="15"/>
          <w:szCs w:val="15"/>
          <w:lang w:val="en-US" w:eastAsia="zh-CN"/>
        </w:rPr>
        <w:t>冀AV0573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