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祁艳军</w:t>
      </w:r>
      <w:r>
        <w:rPr>
          <w:rFonts w:hint="eastAsia"/>
          <w:sz w:val="15"/>
          <w:szCs w:val="15"/>
          <w:highlight w:val="none"/>
        </w:rPr>
        <w:t>，</w:t>
      </w:r>
      <w:r>
        <w:rPr>
          <w:rFonts w:hint="eastAsia"/>
          <w:sz w:val="15"/>
          <w:szCs w:val="15"/>
          <w:highlight w:val="none"/>
          <w:lang w:val="en-US" w:eastAsia="zh-CN"/>
        </w:rPr>
        <w:t>132335197710060059</w:t>
      </w:r>
      <w:r>
        <w:rPr>
          <w:rFonts w:hint="eastAsia"/>
          <w:sz w:val="15"/>
          <w:szCs w:val="15"/>
        </w:rPr>
        <w:t xml:space="preserve">  </w:t>
      </w:r>
      <w:r>
        <w:rPr>
          <w:rFonts w:hint="eastAsia"/>
          <w:sz w:val="15"/>
          <w:szCs w:val="15"/>
          <w:lang w:val="en-US" w:eastAsia="zh-CN"/>
        </w:rPr>
        <w:t>冀A03739D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