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李艳宁</w:t>
      </w:r>
      <w:r>
        <w:rPr>
          <w:rFonts w:hint="eastAsia"/>
          <w:sz w:val="15"/>
          <w:szCs w:val="15"/>
          <w:highlight w:val="none"/>
        </w:rPr>
        <w:t>，</w:t>
      </w:r>
      <w:r>
        <w:rPr>
          <w:rFonts w:hint="eastAsia"/>
          <w:sz w:val="15"/>
          <w:szCs w:val="15"/>
          <w:highlight w:val="none"/>
          <w:lang w:val="en-US" w:eastAsia="zh-CN"/>
        </w:rPr>
        <w:t>130185198612051816</w:t>
      </w:r>
      <w:r>
        <w:rPr>
          <w:rFonts w:hint="eastAsia"/>
          <w:sz w:val="15"/>
          <w:szCs w:val="15"/>
        </w:rPr>
        <w:t xml:space="preserve">  </w:t>
      </w:r>
      <w:r>
        <w:rPr>
          <w:rFonts w:hint="eastAsia"/>
          <w:sz w:val="15"/>
          <w:szCs w:val="15"/>
          <w:lang w:val="en-US" w:eastAsia="zh-CN"/>
        </w:rPr>
        <w:t>冀A188TQ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