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唐晓亮</w:t>
      </w:r>
      <w:r>
        <w:rPr>
          <w:rFonts w:hint="eastAsia"/>
          <w:sz w:val="15"/>
          <w:szCs w:val="15"/>
          <w:highlight w:val="none"/>
        </w:rPr>
        <w:t>，</w:t>
      </w:r>
      <w:r>
        <w:rPr>
          <w:rFonts w:hint="eastAsia"/>
          <w:sz w:val="15"/>
          <w:szCs w:val="15"/>
          <w:highlight w:val="none"/>
          <w:lang w:val="en-US" w:eastAsia="zh-CN"/>
        </w:rPr>
        <w:t>13018419881005451X</w:t>
      </w:r>
      <w:r>
        <w:rPr>
          <w:rFonts w:hint="eastAsia"/>
          <w:sz w:val="15"/>
          <w:szCs w:val="15"/>
        </w:rPr>
        <w:t xml:space="preserve">  </w:t>
      </w:r>
      <w:r>
        <w:rPr>
          <w:rFonts w:hint="eastAsia"/>
          <w:sz w:val="15"/>
          <w:szCs w:val="15"/>
          <w:lang w:val="en-US" w:eastAsia="zh-CN"/>
        </w:rPr>
        <w:t>冀AX1415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