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高新书</w:t>
      </w:r>
      <w:r>
        <w:rPr>
          <w:rFonts w:hint="eastAsia"/>
          <w:sz w:val="15"/>
          <w:szCs w:val="15"/>
          <w:highlight w:val="none"/>
        </w:rPr>
        <w:t>，</w:t>
      </w:r>
      <w:r>
        <w:rPr>
          <w:rFonts w:hint="eastAsia"/>
          <w:sz w:val="15"/>
          <w:szCs w:val="15"/>
          <w:highlight w:val="none"/>
          <w:lang w:val="en-US" w:eastAsia="zh-CN"/>
        </w:rPr>
        <w:t>130184197610125315</w:t>
      </w:r>
      <w:r>
        <w:rPr>
          <w:rFonts w:hint="eastAsia"/>
          <w:sz w:val="15"/>
          <w:szCs w:val="15"/>
        </w:rPr>
        <w:t xml:space="preserve">  </w:t>
      </w:r>
      <w:r>
        <w:rPr>
          <w:rFonts w:hint="eastAsia"/>
          <w:sz w:val="15"/>
          <w:szCs w:val="15"/>
          <w:lang w:val="en-US" w:eastAsia="zh-CN"/>
        </w:rPr>
        <w:t>冀AC9682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