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陈励豪</w:t>
      </w:r>
      <w:r>
        <w:rPr>
          <w:rFonts w:hint="eastAsia"/>
          <w:sz w:val="15"/>
          <w:szCs w:val="15"/>
          <w:highlight w:val="none"/>
        </w:rPr>
        <w:t>，</w:t>
      </w:r>
      <w:r>
        <w:rPr>
          <w:rFonts w:hint="eastAsia"/>
          <w:sz w:val="15"/>
          <w:szCs w:val="15"/>
          <w:highlight w:val="none"/>
          <w:lang w:val="en-US" w:eastAsia="zh-CN"/>
        </w:rPr>
        <w:t>13018119960930851X</w:t>
      </w:r>
      <w:r>
        <w:rPr>
          <w:rFonts w:hint="eastAsia"/>
          <w:sz w:val="15"/>
          <w:szCs w:val="15"/>
        </w:rPr>
        <w:t xml:space="preserve">  </w:t>
      </w:r>
      <w:r>
        <w:rPr>
          <w:rFonts w:hint="eastAsia"/>
          <w:sz w:val="15"/>
          <w:szCs w:val="15"/>
          <w:lang w:val="en-US" w:eastAsia="zh-CN"/>
        </w:rPr>
        <w:t>冀A35343D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