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卞玉霞</w:t>
      </w:r>
      <w:r>
        <w:rPr>
          <w:rFonts w:hint="eastAsia"/>
          <w:sz w:val="15"/>
          <w:szCs w:val="15"/>
          <w:highlight w:val="none"/>
        </w:rPr>
        <w:t>，</w:t>
      </w:r>
      <w:r>
        <w:rPr>
          <w:rFonts w:hint="eastAsia"/>
          <w:sz w:val="15"/>
          <w:szCs w:val="15"/>
          <w:highlight w:val="none"/>
          <w:lang w:val="en-US" w:eastAsia="zh-CN"/>
        </w:rPr>
        <w:t>130131198901130124</w:t>
      </w:r>
      <w:r>
        <w:rPr>
          <w:rFonts w:hint="eastAsia"/>
          <w:sz w:val="15"/>
          <w:szCs w:val="15"/>
        </w:rPr>
        <w:t xml:space="preserve">  </w:t>
      </w:r>
      <w:r>
        <w:rPr>
          <w:rFonts w:hint="eastAsia"/>
          <w:sz w:val="15"/>
          <w:szCs w:val="15"/>
          <w:lang w:val="en-US" w:eastAsia="zh-CN"/>
        </w:rPr>
        <w:t>冀A39192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