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王志岗</w:t>
      </w:r>
      <w:r>
        <w:rPr>
          <w:rFonts w:hint="eastAsia"/>
          <w:sz w:val="15"/>
          <w:szCs w:val="15"/>
          <w:highlight w:val="none"/>
        </w:rPr>
        <w:t>，</w:t>
      </w:r>
      <w:r>
        <w:rPr>
          <w:rFonts w:hint="eastAsia"/>
          <w:sz w:val="15"/>
          <w:szCs w:val="15"/>
          <w:highlight w:val="none"/>
          <w:lang w:val="en-US" w:eastAsia="zh-CN"/>
        </w:rPr>
        <w:t>130131198511290616</w:t>
      </w:r>
      <w:r>
        <w:rPr>
          <w:rFonts w:hint="eastAsia"/>
          <w:sz w:val="15"/>
          <w:szCs w:val="15"/>
        </w:rPr>
        <w:t xml:space="preserve">  </w:t>
      </w:r>
      <w:r>
        <w:rPr>
          <w:rFonts w:hint="eastAsia"/>
          <w:sz w:val="15"/>
          <w:szCs w:val="15"/>
          <w:lang w:val="en-US" w:eastAsia="zh-CN"/>
        </w:rPr>
        <w:t>冀A31520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