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齐二军</w:t>
      </w:r>
      <w:r>
        <w:rPr>
          <w:rFonts w:hint="eastAsia"/>
          <w:sz w:val="15"/>
          <w:szCs w:val="15"/>
          <w:highlight w:val="none"/>
        </w:rPr>
        <w:t>，</w:t>
      </w:r>
      <w:r>
        <w:rPr>
          <w:rFonts w:hint="eastAsia"/>
          <w:sz w:val="15"/>
          <w:szCs w:val="15"/>
          <w:highlight w:val="none"/>
          <w:lang w:val="en-US" w:eastAsia="zh-CN"/>
        </w:rPr>
        <w:t>130131198507160034</w:t>
      </w:r>
      <w:r>
        <w:rPr>
          <w:rFonts w:hint="eastAsia"/>
          <w:sz w:val="15"/>
          <w:szCs w:val="15"/>
        </w:rPr>
        <w:t xml:space="preserve">  </w:t>
      </w:r>
      <w:r>
        <w:rPr>
          <w:rFonts w:hint="eastAsia"/>
          <w:sz w:val="15"/>
          <w:szCs w:val="15"/>
          <w:lang w:val="en-US" w:eastAsia="zh-CN"/>
        </w:rPr>
        <w:t>冀A1651V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