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韩巧巧</w:t>
      </w:r>
      <w:r>
        <w:rPr>
          <w:rFonts w:hint="eastAsia"/>
          <w:sz w:val="15"/>
          <w:szCs w:val="15"/>
          <w:highlight w:val="none"/>
        </w:rPr>
        <w:t>，</w:t>
      </w:r>
      <w:r>
        <w:rPr>
          <w:rFonts w:hint="eastAsia"/>
          <w:sz w:val="15"/>
          <w:szCs w:val="15"/>
          <w:highlight w:val="none"/>
          <w:lang w:val="en-US" w:eastAsia="zh-CN"/>
        </w:rPr>
        <w:t>130131196707140629</w:t>
      </w:r>
      <w:r>
        <w:rPr>
          <w:rFonts w:hint="eastAsia"/>
          <w:sz w:val="15"/>
          <w:szCs w:val="15"/>
        </w:rPr>
        <w:t xml:space="preserve">  </w:t>
      </w:r>
      <w:r>
        <w:rPr>
          <w:rFonts w:hint="eastAsia"/>
          <w:sz w:val="15"/>
          <w:szCs w:val="15"/>
          <w:lang w:val="en-US" w:eastAsia="zh-CN"/>
        </w:rPr>
        <w:t>冀A07990D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