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刘江红</w:t>
      </w:r>
      <w:r>
        <w:rPr>
          <w:rFonts w:hint="eastAsia"/>
          <w:sz w:val="15"/>
          <w:szCs w:val="15"/>
          <w:highlight w:val="none"/>
        </w:rPr>
        <w:t>，</w:t>
      </w:r>
      <w:r>
        <w:rPr>
          <w:rFonts w:hint="eastAsia"/>
          <w:sz w:val="15"/>
          <w:szCs w:val="15"/>
          <w:highlight w:val="none"/>
          <w:lang w:val="en-US" w:eastAsia="zh-CN"/>
        </w:rPr>
        <w:t>130128197205291810</w:t>
      </w:r>
      <w:r>
        <w:rPr>
          <w:rFonts w:hint="eastAsia"/>
          <w:sz w:val="15"/>
          <w:szCs w:val="15"/>
        </w:rPr>
        <w:t xml:space="preserve">  </w:t>
      </w:r>
      <w:r>
        <w:rPr>
          <w:rFonts w:hint="eastAsia"/>
          <w:sz w:val="15"/>
          <w:szCs w:val="15"/>
          <w:lang w:val="en-US" w:eastAsia="zh-CN"/>
        </w:rPr>
        <w:t>冀A8562Y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