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闫利仁</w:t>
      </w:r>
      <w:r>
        <w:rPr>
          <w:rFonts w:hint="eastAsia"/>
          <w:sz w:val="15"/>
          <w:szCs w:val="15"/>
          <w:highlight w:val="none"/>
        </w:rPr>
        <w:t>，</w:t>
      </w:r>
      <w:r>
        <w:rPr>
          <w:rFonts w:hint="eastAsia"/>
          <w:sz w:val="15"/>
          <w:szCs w:val="15"/>
          <w:highlight w:val="none"/>
          <w:lang w:val="en-US" w:eastAsia="zh-CN"/>
        </w:rPr>
        <w:t>130126198705053052</w:t>
      </w:r>
      <w:r>
        <w:rPr>
          <w:rFonts w:hint="eastAsia"/>
          <w:sz w:val="15"/>
          <w:szCs w:val="15"/>
        </w:rPr>
        <w:t xml:space="preserve">  </w:t>
      </w:r>
      <w:r>
        <w:rPr>
          <w:rFonts w:hint="eastAsia"/>
          <w:sz w:val="15"/>
          <w:szCs w:val="15"/>
          <w:lang w:val="en-US" w:eastAsia="zh-CN"/>
        </w:rPr>
        <w:t>冀A7S400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