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赵然</w:t>
      </w:r>
      <w:r>
        <w:rPr>
          <w:rFonts w:hint="eastAsia"/>
          <w:sz w:val="15"/>
          <w:szCs w:val="15"/>
          <w:highlight w:val="none"/>
        </w:rPr>
        <w:t>，</w:t>
      </w:r>
      <w:r>
        <w:rPr>
          <w:rFonts w:hint="eastAsia"/>
          <w:sz w:val="15"/>
          <w:szCs w:val="15"/>
          <w:highlight w:val="none"/>
          <w:lang w:val="en-US" w:eastAsia="zh-CN"/>
        </w:rPr>
        <w:t>130125198908143529</w:t>
      </w:r>
      <w:r>
        <w:rPr>
          <w:rFonts w:hint="eastAsia"/>
          <w:sz w:val="15"/>
          <w:szCs w:val="15"/>
        </w:rPr>
        <w:t xml:space="preserve">  </w:t>
      </w:r>
      <w:r>
        <w:rPr>
          <w:rFonts w:hint="eastAsia"/>
          <w:sz w:val="15"/>
          <w:szCs w:val="15"/>
          <w:lang w:val="en-US" w:eastAsia="zh-CN"/>
        </w:rPr>
        <w:t>冀A4V946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