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甄健</w:t>
      </w:r>
      <w:r>
        <w:rPr>
          <w:rFonts w:hint="eastAsia"/>
          <w:sz w:val="15"/>
          <w:szCs w:val="15"/>
          <w:highlight w:val="none"/>
        </w:rPr>
        <w:t>，</w:t>
      </w:r>
      <w:r>
        <w:rPr>
          <w:rFonts w:hint="eastAsia"/>
          <w:sz w:val="15"/>
          <w:szCs w:val="15"/>
          <w:highlight w:val="none"/>
          <w:lang w:val="en-US" w:eastAsia="zh-CN"/>
        </w:rPr>
        <w:t>130125198809287033</w:t>
      </w:r>
      <w:r>
        <w:rPr>
          <w:rFonts w:hint="eastAsia"/>
          <w:sz w:val="15"/>
          <w:szCs w:val="15"/>
        </w:rPr>
        <w:t xml:space="preserve">  </w:t>
      </w:r>
      <w:r>
        <w:rPr>
          <w:rFonts w:hint="eastAsia"/>
          <w:sz w:val="15"/>
          <w:szCs w:val="15"/>
          <w:lang w:val="en-US" w:eastAsia="zh-CN"/>
        </w:rPr>
        <w:t>冀A7429V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