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张磊</w:t>
      </w:r>
      <w:r>
        <w:rPr>
          <w:rFonts w:hint="eastAsia"/>
          <w:sz w:val="15"/>
          <w:szCs w:val="15"/>
          <w:highlight w:val="none"/>
        </w:rPr>
        <w:t>，</w:t>
      </w:r>
      <w:r>
        <w:rPr>
          <w:rFonts w:hint="eastAsia"/>
          <w:sz w:val="15"/>
          <w:szCs w:val="15"/>
          <w:highlight w:val="none"/>
          <w:lang w:val="en-US" w:eastAsia="zh-CN"/>
        </w:rPr>
        <w:t>130125198710244535</w:t>
      </w:r>
      <w:r>
        <w:rPr>
          <w:rFonts w:hint="eastAsia"/>
          <w:sz w:val="15"/>
          <w:szCs w:val="15"/>
        </w:rPr>
        <w:t xml:space="preserve">  </w:t>
      </w:r>
      <w:r>
        <w:rPr>
          <w:rFonts w:hint="eastAsia"/>
          <w:sz w:val="15"/>
          <w:szCs w:val="15"/>
          <w:lang w:val="en-US" w:eastAsia="zh-CN"/>
        </w:rPr>
        <w:t>冀A126A6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