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张坤</w:t>
      </w:r>
      <w:r>
        <w:rPr>
          <w:rFonts w:hint="eastAsia"/>
          <w:sz w:val="15"/>
          <w:szCs w:val="15"/>
          <w:highlight w:val="none"/>
        </w:rPr>
        <w:t>，</w:t>
      </w:r>
      <w:r>
        <w:rPr>
          <w:rFonts w:hint="eastAsia"/>
          <w:sz w:val="15"/>
          <w:szCs w:val="15"/>
          <w:highlight w:val="none"/>
          <w:lang w:val="en-US" w:eastAsia="zh-CN"/>
        </w:rPr>
        <w:t>130125198608114515</w:t>
      </w:r>
      <w:r>
        <w:rPr>
          <w:rFonts w:hint="eastAsia"/>
          <w:sz w:val="15"/>
          <w:szCs w:val="15"/>
        </w:rPr>
        <w:t xml:space="preserve">  </w:t>
      </w:r>
      <w:r>
        <w:rPr>
          <w:rFonts w:hint="eastAsia"/>
          <w:sz w:val="15"/>
          <w:szCs w:val="15"/>
          <w:lang w:val="en-US" w:eastAsia="zh-CN"/>
        </w:rPr>
        <w:t>冀A566C6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