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张永会</w:t>
      </w:r>
      <w:r>
        <w:rPr>
          <w:rFonts w:hint="eastAsia"/>
          <w:sz w:val="15"/>
          <w:szCs w:val="15"/>
          <w:highlight w:val="none"/>
        </w:rPr>
        <w:t>，</w:t>
      </w:r>
      <w:r>
        <w:rPr>
          <w:rFonts w:hint="eastAsia"/>
          <w:sz w:val="15"/>
          <w:szCs w:val="15"/>
          <w:highlight w:val="none"/>
          <w:lang w:val="en-US" w:eastAsia="zh-CN"/>
        </w:rPr>
        <w:t>130125198507084513</w:t>
      </w:r>
      <w:r>
        <w:rPr>
          <w:rFonts w:hint="eastAsia"/>
          <w:sz w:val="15"/>
          <w:szCs w:val="15"/>
        </w:rPr>
        <w:t xml:space="preserve">  </w:t>
      </w:r>
      <w:r>
        <w:rPr>
          <w:rFonts w:hint="eastAsia"/>
          <w:sz w:val="15"/>
          <w:szCs w:val="15"/>
          <w:lang w:val="en-US" w:eastAsia="zh-CN"/>
        </w:rPr>
        <w:t>冀A5922U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