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许闪雷</w:t>
      </w:r>
      <w:r>
        <w:rPr>
          <w:rFonts w:hint="eastAsia"/>
          <w:sz w:val="15"/>
          <w:szCs w:val="15"/>
          <w:highlight w:val="none"/>
        </w:rPr>
        <w:t>，</w:t>
      </w:r>
      <w:r>
        <w:rPr>
          <w:rFonts w:hint="eastAsia"/>
          <w:sz w:val="15"/>
          <w:szCs w:val="15"/>
          <w:highlight w:val="none"/>
          <w:lang w:val="en-US" w:eastAsia="zh-CN"/>
        </w:rPr>
        <w:t>13012519850620355X</w:t>
      </w:r>
      <w:r>
        <w:rPr>
          <w:rFonts w:hint="eastAsia"/>
          <w:sz w:val="15"/>
          <w:szCs w:val="15"/>
        </w:rPr>
        <w:t xml:space="preserve">  </w:t>
      </w:r>
      <w:r>
        <w:rPr>
          <w:rFonts w:hint="eastAsia"/>
          <w:sz w:val="15"/>
          <w:szCs w:val="15"/>
          <w:lang w:val="en-US" w:eastAsia="zh-CN"/>
        </w:rPr>
        <w:t>冀A72N45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