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翟立峰</w:t>
      </w:r>
      <w:r>
        <w:rPr>
          <w:rFonts w:hint="eastAsia"/>
          <w:sz w:val="15"/>
          <w:szCs w:val="15"/>
          <w:highlight w:val="none"/>
        </w:rPr>
        <w:t>，</w:t>
      </w:r>
      <w:r>
        <w:rPr>
          <w:rFonts w:hint="eastAsia"/>
          <w:sz w:val="15"/>
          <w:szCs w:val="15"/>
          <w:highlight w:val="none"/>
          <w:lang w:val="en-US" w:eastAsia="zh-CN"/>
        </w:rPr>
        <w:t>130125198310123590</w:t>
      </w:r>
      <w:r>
        <w:rPr>
          <w:rFonts w:hint="eastAsia"/>
          <w:sz w:val="15"/>
          <w:szCs w:val="15"/>
        </w:rPr>
        <w:t xml:space="preserve">  </w:t>
      </w:r>
      <w:r>
        <w:rPr>
          <w:rFonts w:hint="eastAsia"/>
          <w:sz w:val="15"/>
          <w:szCs w:val="15"/>
          <w:lang w:val="en-US" w:eastAsia="zh-CN"/>
        </w:rPr>
        <w:t>冀A31A80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