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翟玲岗</w:t>
      </w:r>
      <w:r>
        <w:rPr>
          <w:rFonts w:hint="eastAsia"/>
          <w:sz w:val="15"/>
          <w:szCs w:val="15"/>
          <w:highlight w:val="none"/>
        </w:rPr>
        <w:t>，</w:t>
      </w:r>
      <w:r>
        <w:rPr>
          <w:rFonts w:hint="eastAsia"/>
          <w:sz w:val="15"/>
          <w:szCs w:val="15"/>
          <w:highlight w:val="none"/>
          <w:lang w:val="en-US" w:eastAsia="zh-CN"/>
        </w:rPr>
        <w:t>130125198009143517</w:t>
      </w:r>
      <w:r>
        <w:rPr>
          <w:rFonts w:hint="eastAsia"/>
          <w:sz w:val="15"/>
          <w:szCs w:val="15"/>
        </w:rPr>
        <w:t xml:space="preserve">  </w:t>
      </w:r>
      <w:r>
        <w:rPr>
          <w:rFonts w:hint="eastAsia"/>
          <w:sz w:val="15"/>
          <w:szCs w:val="15"/>
          <w:lang w:val="en-US" w:eastAsia="zh-CN"/>
        </w:rPr>
        <w:t>冀AL4617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