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梁泽民</w:t>
      </w:r>
      <w:r>
        <w:rPr>
          <w:rFonts w:hint="eastAsia"/>
          <w:sz w:val="15"/>
          <w:szCs w:val="15"/>
          <w:highlight w:val="none"/>
        </w:rPr>
        <w:t>，</w:t>
      </w:r>
      <w:r>
        <w:rPr>
          <w:rFonts w:hint="eastAsia"/>
          <w:sz w:val="15"/>
          <w:szCs w:val="15"/>
          <w:highlight w:val="none"/>
          <w:lang w:val="en-US" w:eastAsia="zh-CN"/>
        </w:rPr>
        <w:t>130121199001261032</w:t>
      </w:r>
      <w:r>
        <w:rPr>
          <w:rFonts w:hint="eastAsia"/>
          <w:sz w:val="15"/>
          <w:szCs w:val="15"/>
        </w:rPr>
        <w:t xml:space="preserve">  </w:t>
      </w:r>
      <w:r>
        <w:rPr>
          <w:rFonts w:hint="eastAsia"/>
          <w:sz w:val="15"/>
          <w:szCs w:val="15"/>
          <w:lang w:val="en-US" w:eastAsia="zh-CN"/>
        </w:rPr>
        <w:t>冀A48325</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