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蔡建增</w:t>
      </w:r>
      <w:r>
        <w:rPr>
          <w:rFonts w:hint="eastAsia"/>
          <w:sz w:val="15"/>
          <w:szCs w:val="15"/>
          <w:highlight w:val="none"/>
        </w:rPr>
        <w:t>，</w:t>
      </w:r>
      <w:r>
        <w:rPr>
          <w:rFonts w:hint="eastAsia"/>
          <w:sz w:val="15"/>
          <w:szCs w:val="15"/>
          <w:highlight w:val="none"/>
          <w:lang w:val="en-US" w:eastAsia="zh-CN"/>
        </w:rPr>
        <w:t>130121198211031011</w:t>
      </w:r>
      <w:r>
        <w:rPr>
          <w:rFonts w:hint="eastAsia"/>
          <w:sz w:val="15"/>
          <w:szCs w:val="15"/>
        </w:rPr>
        <w:t xml:space="preserve">  </w:t>
      </w:r>
      <w:r>
        <w:rPr>
          <w:rFonts w:hint="eastAsia"/>
          <w:sz w:val="15"/>
          <w:szCs w:val="15"/>
          <w:lang w:val="en-US" w:eastAsia="zh-CN"/>
        </w:rPr>
        <w:t>冀A9458V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