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刘克欣</w:t>
      </w:r>
      <w:r>
        <w:rPr>
          <w:rFonts w:hint="eastAsia"/>
          <w:sz w:val="15"/>
          <w:szCs w:val="15"/>
          <w:highlight w:val="none"/>
        </w:rPr>
        <w:t>，</w:t>
      </w:r>
      <w:r>
        <w:rPr>
          <w:rFonts w:hint="eastAsia"/>
          <w:sz w:val="15"/>
          <w:szCs w:val="15"/>
          <w:highlight w:val="none"/>
          <w:lang w:val="en-US" w:eastAsia="zh-CN"/>
        </w:rPr>
        <w:t>130121198201271011</w:t>
      </w:r>
      <w:r>
        <w:rPr>
          <w:rFonts w:hint="eastAsia"/>
          <w:sz w:val="15"/>
          <w:szCs w:val="15"/>
        </w:rPr>
        <w:t xml:space="preserve">  </w:t>
      </w:r>
      <w:r>
        <w:rPr>
          <w:rFonts w:hint="eastAsia"/>
          <w:sz w:val="15"/>
          <w:szCs w:val="15"/>
          <w:lang w:val="en-US" w:eastAsia="zh-CN"/>
        </w:rPr>
        <w:t>冀A202Y3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