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郝晓勇</w:t>
      </w:r>
      <w:r>
        <w:rPr>
          <w:rFonts w:hint="eastAsia"/>
          <w:sz w:val="15"/>
          <w:szCs w:val="15"/>
          <w:highlight w:val="none"/>
        </w:rPr>
        <w:t>，</w:t>
      </w:r>
      <w:r>
        <w:rPr>
          <w:rFonts w:hint="eastAsia"/>
          <w:sz w:val="15"/>
          <w:szCs w:val="15"/>
          <w:highlight w:val="none"/>
          <w:lang w:val="en-US" w:eastAsia="zh-CN"/>
        </w:rPr>
        <w:t>130121198201081015</w:t>
      </w:r>
      <w:r>
        <w:rPr>
          <w:rFonts w:hint="eastAsia"/>
          <w:sz w:val="15"/>
          <w:szCs w:val="15"/>
        </w:rPr>
        <w:t xml:space="preserve">  </w:t>
      </w:r>
      <w:r>
        <w:rPr>
          <w:rFonts w:hint="eastAsia"/>
          <w:sz w:val="15"/>
          <w:szCs w:val="15"/>
          <w:lang w:val="en-US" w:eastAsia="zh-CN"/>
        </w:rPr>
        <w:t>冀ACF567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