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樊智力</w:t>
      </w:r>
      <w:r>
        <w:rPr>
          <w:rFonts w:hint="eastAsia"/>
          <w:sz w:val="15"/>
          <w:szCs w:val="15"/>
          <w:highlight w:val="none"/>
        </w:rPr>
        <w:t>，</w:t>
      </w:r>
      <w:r>
        <w:rPr>
          <w:rFonts w:hint="eastAsia"/>
          <w:sz w:val="15"/>
          <w:szCs w:val="15"/>
          <w:highlight w:val="none"/>
          <w:lang w:val="en-US" w:eastAsia="zh-CN"/>
        </w:rPr>
        <w:t>130104198204041514</w:t>
      </w:r>
      <w:r>
        <w:rPr>
          <w:rFonts w:hint="eastAsia"/>
          <w:sz w:val="15"/>
          <w:szCs w:val="15"/>
        </w:rPr>
        <w:t xml:space="preserve">  </w:t>
      </w:r>
      <w:r>
        <w:rPr>
          <w:rFonts w:hint="eastAsia"/>
          <w:sz w:val="15"/>
          <w:szCs w:val="15"/>
          <w:lang w:val="en-US" w:eastAsia="zh-CN"/>
        </w:rPr>
        <w:t>冀AJN246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