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晶晶</w:t>
      </w:r>
      <w:r>
        <w:rPr>
          <w:rFonts w:hint="eastAsia"/>
          <w:sz w:val="15"/>
          <w:szCs w:val="15"/>
          <w:highlight w:val="none"/>
        </w:rPr>
        <w:t>，</w:t>
      </w:r>
      <w:r>
        <w:rPr>
          <w:rFonts w:hint="eastAsia"/>
          <w:sz w:val="15"/>
          <w:szCs w:val="15"/>
          <w:highlight w:val="none"/>
          <w:lang w:val="en-US" w:eastAsia="zh-CN"/>
        </w:rPr>
        <w:t>120225198707285268</w:t>
      </w:r>
      <w:r>
        <w:rPr>
          <w:rFonts w:hint="eastAsia"/>
          <w:sz w:val="15"/>
          <w:szCs w:val="15"/>
        </w:rPr>
        <w:t xml:space="preserve">  </w:t>
      </w:r>
      <w:r>
        <w:rPr>
          <w:rFonts w:hint="eastAsia"/>
          <w:sz w:val="15"/>
          <w:szCs w:val="15"/>
          <w:lang w:val="en-US" w:eastAsia="zh-CN"/>
        </w:rPr>
        <w:t>蒙H1600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