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杨海蛟</w:t>
      </w:r>
      <w:r>
        <w:rPr>
          <w:rFonts w:hint="eastAsia"/>
          <w:sz w:val="15"/>
          <w:szCs w:val="15"/>
          <w:highlight w:val="none"/>
        </w:rPr>
        <w:t>，</w:t>
      </w:r>
      <w:r>
        <w:rPr>
          <w:rFonts w:hint="eastAsia"/>
          <w:sz w:val="15"/>
          <w:szCs w:val="15"/>
          <w:highlight w:val="none"/>
          <w:lang w:val="en-US" w:eastAsia="zh-CN"/>
        </w:rPr>
        <w:t>132335197108160014</w:t>
      </w:r>
      <w:r>
        <w:rPr>
          <w:rFonts w:hint="eastAsia"/>
          <w:sz w:val="15"/>
          <w:szCs w:val="15"/>
        </w:rPr>
        <w:t xml:space="preserve">  </w:t>
      </w:r>
      <w:r>
        <w:rPr>
          <w:rFonts w:hint="eastAsia"/>
          <w:sz w:val="15"/>
          <w:szCs w:val="15"/>
          <w:lang w:val="en-US" w:eastAsia="zh-CN"/>
        </w:rPr>
        <w:t>冀A35921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