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郑双林</w:t>
      </w:r>
      <w:r>
        <w:rPr>
          <w:rFonts w:hint="eastAsia"/>
          <w:sz w:val="15"/>
          <w:szCs w:val="15"/>
          <w:highlight w:val="none"/>
        </w:rPr>
        <w:t>，</w:t>
      </w:r>
      <w:r>
        <w:rPr>
          <w:rFonts w:hint="eastAsia"/>
          <w:sz w:val="15"/>
          <w:szCs w:val="15"/>
          <w:highlight w:val="none"/>
          <w:lang w:val="en-US" w:eastAsia="zh-CN"/>
        </w:rPr>
        <w:t>132336197312280810</w:t>
      </w:r>
      <w:r>
        <w:rPr>
          <w:rFonts w:hint="eastAsia"/>
          <w:sz w:val="15"/>
          <w:szCs w:val="15"/>
        </w:rPr>
        <w:t xml:space="preserve">  </w:t>
      </w:r>
      <w:r>
        <w:rPr>
          <w:rFonts w:hint="eastAsia"/>
          <w:sz w:val="15"/>
          <w:szCs w:val="15"/>
          <w:lang w:val="en-US" w:eastAsia="zh-CN"/>
        </w:rPr>
        <w:t>沪A96852D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