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宋跃伟</w:t>
      </w:r>
      <w:r>
        <w:rPr>
          <w:rFonts w:hint="eastAsia"/>
          <w:sz w:val="15"/>
          <w:szCs w:val="15"/>
          <w:highlight w:val="none"/>
        </w:rPr>
        <w:t>，</w:t>
      </w:r>
      <w:r>
        <w:rPr>
          <w:rFonts w:hint="eastAsia"/>
          <w:sz w:val="15"/>
          <w:szCs w:val="15"/>
          <w:highlight w:val="none"/>
          <w:lang w:val="en-US" w:eastAsia="zh-CN"/>
        </w:rPr>
        <w:t>132335197908050016</w:t>
      </w:r>
      <w:r>
        <w:rPr>
          <w:rFonts w:hint="eastAsia"/>
          <w:sz w:val="15"/>
          <w:szCs w:val="15"/>
        </w:rPr>
        <w:t xml:space="preserve">  </w:t>
      </w:r>
      <w:r>
        <w:rPr>
          <w:rFonts w:hint="eastAsia"/>
          <w:sz w:val="15"/>
          <w:szCs w:val="15"/>
          <w:lang w:val="en-US" w:eastAsia="zh-CN"/>
        </w:rPr>
        <w:t>冀A773B5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