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李路彦</w:t>
      </w:r>
      <w:r>
        <w:rPr>
          <w:rFonts w:hint="eastAsia"/>
          <w:sz w:val="15"/>
          <w:szCs w:val="15"/>
          <w:highlight w:val="none"/>
        </w:rPr>
        <w:t>，</w:t>
      </w:r>
      <w:r>
        <w:rPr>
          <w:rFonts w:hint="eastAsia"/>
          <w:sz w:val="15"/>
          <w:szCs w:val="15"/>
          <w:highlight w:val="none"/>
          <w:lang w:val="en-US" w:eastAsia="zh-CN"/>
        </w:rPr>
        <w:t>132335197901021714</w:t>
      </w:r>
      <w:r>
        <w:rPr>
          <w:rFonts w:hint="eastAsia"/>
          <w:sz w:val="15"/>
          <w:szCs w:val="15"/>
        </w:rPr>
        <w:t xml:space="preserve">  </w:t>
      </w:r>
      <w:r>
        <w:rPr>
          <w:rFonts w:hint="eastAsia"/>
          <w:sz w:val="15"/>
          <w:szCs w:val="15"/>
          <w:lang w:val="en-US" w:eastAsia="zh-CN"/>
        </w:rPr>
        <w:t>冀A35576D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