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安林忠</w:t>
      </w:r>
      <w:r>
        <w:rPr>
          <w:rFonts w:hint="eastAsia"/>
          <w:sz w:val="15"/>
          <w:szCs w:val="15"/>
          <w:highlight w:val="none"/>
        </w:rPr>
        <w:t>，</w:t>
      </w:r>
      <w:r>
        <w:rPr>
          <w:rFonts w:hint="eastAsia"/>
          <w:sz w:val="15"/>
          <w:szCs w:val="15"/>
          <w:highlight w:val="none"/>
          <w:lang w:val="en-US" w:eastAsia="zh-CN"/>
        </w:rPr>
        <w:t>132335196507131312</w:t>
      </w:r>
      <w:r>
        <w:rPr>
          <w:rFonts w:hint="eastAsia"/>
          <w:sz w:val="15"/>
          <w:szCs w:val="15"/>
        </w:rPr>
        <w:t xml:space="preserve">  </w:t>
      </w:r>
      <w:r>
        <w:rPr>
          <w:rFonts w:hint="eastAsia"/>
          <w:sz w:val="15"/>
          <w:szCs w:val="15"/>
          <w:lang w:val="en-US" w:eastAsia="zh-CN"/>
        </w:rPr>
        <w:t>津A27508D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