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刘飞飞</w:t>
      </w:r>
      <w:r>
        <w:rPr>
          <w:rFonts w:hint="eastAsia"/>
          <w:sz w:val="15"/>
          <w:szCs w:val="15"/>
          <w:highlight w:val="none"/>
        </w:rPr>
        <w:t>，</w:t>
      </w:r>
      <w:r>
        <w:rPr>
          <w:rFonts w:hint="eastAsia"/>
          <w:sz w:val="15"/>
          <w:szCs w:val="15"/>
          <w:highlight w:val="none"/>
          <w:lang w:val="en-US" w:eastAsia="zh-CN"/>
        </w:rPr>
        <w:t>130131198402203915</w:t>
      </w:r>
      <w:r>
        <w:rPr>
          <w:rFonts w:hint="eastAsia"/>
          <w:sz w:val="15"/>
          <w:szCs w:val="15"/>
        </w:rPr>
        <w:t xml:space="preserve">  </w:t>
      </w:r>
      <w:r>
        <w:rPr>
          <w:rFonts w:hint="eastAsia"/>
          <w:sz w:val="15"/>
          <w:szCs w:val="15"/>
          <w:lang w:val="en-US" w:eastAsia="zh-CN"/>
        </w:rPr>
        <w:t>冀A288KJ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