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李素龙</w:t>
      </w:r>
      <w:r>
        <w:rPr>
          <w:rFonts w:hint="eastAsia"/>
          <w:sz w:val="15"/>
          <w:szCs w:val="15"/>
          <w:highlight w:val="none"/>
        </w:rPr>
        <w:t>，</w:t>
      </w:r>
      <w:r>
        <w:rPr>
          <w:rFonts w:hint="eastAsia"/>
          <w:sz w:val="15"/>
          <w:szCs w:val="15"/>
          <w:highlight w:val="none"/>
          <w:lang w:val="en-US" w:eastAsia="zh-CN"/>
        </w:rPr>
        <w:t>130131198305301812</w:t>
      </w:r>
      <w:r>
        <w:rPr>
          <w:rFonts w:hint="eastAsia"/>
          <w:sz w:val="15"/>
          <w:szCs w:val="15"/>
        </w:rPr>
        <w:t xml:space="preserve">  </w:t>
      </w:r>
      <w:r>
        <w:rPr>
          <w:rFonts w:hint="eastAsia"/>
          <w:sz w:val="15"/>
          <w:szCs w:val="15"/>
          <w:lang w:val="en-US" w:eastAsia="zh-CN"/>
        </w:rPr>
        <w:t>冀A30341D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