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刘春柳</w:t>
      </w:r>
      <w:r>
        <w:rPr>
          <w:rFonts w:hint="eastAsia"/>
          <w:sz w:val="15"/>
          <w:szCs w:val="15"/>
          <w:highlight w:val="none"/>
        </w:rPr>
        <w:t>，</w:t>
      </w:r>
      <w:r>
        <w:rPr>
          <w:rFonts w:hint="eastAsia"/>
          <w:sz w:val="15"/>
          <w:szCs w:val="15"/>
          <w:highlight w:val="none"/>
          <w:lang w:val="en-US" w:eastAsia="zh-CN"/>
        </w:rPr>
        <w:t>130126198902130969</w:t>
      </w:r>
      <w:r>
        <w:rPr>
          <w:rFonts w:hint="eastAsia"/>
          <w:sz w:val="15"/>
          <w:szCs w:val="15"/>
        </w:rPr>
        <w:t xml:space="preserve">  </w:t>
      </w:r>
      <w:r>
        <w:rPr>
          <w:rFonts w:hint="eastAsia"/>
          <w:sz w:val="15"/>
          <w:szCs w:val="15"/>
          <w:lang w:val="en-US" w:eastAsia="zh-CN"/>
        </w:rPr>
        <w:t>沪A28306A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