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刘伟霞</w:t>
      </w:r>
      <w:r>
        <w:rPr>
          <w:rFonts w:hint="eastAsia"/>
          <w:sz w:val="15"/>
          <w:szCs w:val="15"/>
          <w:highlight w:val="none"/>
        </w:rPr>
        <w:t>，</w:t>
      </w:r>
      <w:r>
        <w:rPr>
          <w:rFonts w:hint="eastAsia"/>
          <w:sz w:val="15"/>
          <w:szCs w:val="15"/>
          <w:highlight w:val="none"/>
          <w:lang w:val="en-US" w:eastAsia="zh-CN"/>
        </w:rPr>
        <w:t>130126198505020926</w:t>
      </w:r>
      <w:r>
        <w:rPr>
          <w:rFonts w:hint="eastAsia"/>
          <w:sz w:val="15"/>
          <w:szCs w:val="15"/>
        </w:rPr>
        <w:t xml:space="preserve">  </w:t>
      </w:r>
      <w:r>
        <w:rPr>
          <w:rFonts w:hint="eastAsia"/>
          <w:sz w:val="15"/>
          <w:szCs w:val="15"/>
          <w:lang w:val="en-US" w:eastAsia="zh-CN"/>
        </w:rPr>
        <w:t>冀AC3418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