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贾海卫</w:t>
      </w:r>
      <w:r>
        <w:rPr>
          <w:rFonts w:hint="eastAsia"/>
          <w:sz w:val="15"/>
          <w:szCs w:val="15"/>
          <w:highlight w:val="none"/>
        </w:rPr>
        <w:t>，</w:t>
      </w:r>
      <w:r>
        <w:rPr>
          <w:rFonts w:hint="eastAsia"/>
          <w:sz w:val="15"/>
          <w:szCs w:val="15"/>
          <w:highlight w:val="none"/>
          <w:lang w:val="en-US" w:eastAsia="zh-CN"/>
        </w:rPr>
        <w:t>130123198208205466</w:t>
      </w:r>
      <w:r>
        <w:rPr>
          <w:rFonts w:hint="eastAsia"/>
          <w:sz w:val="15"/>
          <w:szCs w:val="15"/>
        </w:rPr>
        <w:t xml:space="preserve">  </w:t>
      </w:r>
      <w:r>
        <w:rPr>
          <w:rFonts w:hint="eastAsia"/>
          <w:sz w:val="15"/>
          <w:szCs w:val="15"/>
          <w:lang w:val="en-US" w:eastAsia="zh-CN"/>
        </w:rPr>
        <w:t>冀A908A8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