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杜刚</w:t>
      </w:r>
      <w:r>
        <w:rPr>
          <w:rFonts w:hint="eastAsia"/>
          <w:sz w:val="15"/>
          <w:szCs w:val="15"/>
          <w:highlight w:val="none"/>
        </w:rPr>
        <w:t>，</w:t>
      </w:r>
      <w:r>
        <w:rPr>
          <w:rFonts w:hint="eastAsia"/>
          <w:sz w:val="15"/>
          <w:szCs w:val="15"/>
          <w:highlight w:val="none"/>
          <w:lang w:val="en-US" w:eastAsia="zh-CN"/>
        </w:rPr>
        <w:t>341223199507033510</w:t>
      </w:r>
      <w:r>
        <w:rPr>
          <w:rFonts w:hint="eastAsia"/>
          <w:sz w:val="15"/>
          <w:szCs w:val="15"/>
        </w:rPr>
        <w:t xml:space="preserve">  </w:t>
      </w:r>
      <w:r>
        <w:rPr>
          <w:rFonts w:hint="eastAsia"/>
          <w:sz w:val="15"/>
          <w:szCs w:val="15"/>
          <w:lang w:val="en-US" w:eastAsia="zh-CN"/>
        </w:rPr>
        <w:t>冀FV7855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