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陶亮</w:t>
      </w:r>
      <w:r>
        <w:rPr>
          <w:rFonts w:hint="eastAsia"/>
          <w:sz w:val="15"/>
          <w:szCs w:val="15"/>
          <w:highlight w:val="none"/>
        </w:rPr>
        <w:t>，</w:t>
      </w:r>
      <w:r>
        <w:rPr>
          <w:rFonts w:hint="eastAsia"/>
          <w:sz w:val="15"/>
          <w:szCs w:val="15"/>
          <w:highlight w:val="none"/>
          <w:lang w:val="en-US" w:eastAsia="zh-CN"/>
        </w:rPr>
        <w:t>220723198403070450</w:t>
      </w:r>
      <w:r>
        <w:rPr>
          <w:rFonts w:hint="eastAsia"/>
          <w:sz w:val="15"/>
          <w:szCs w:val="15"/>
        </w:rPr>
        <w:t xml:space="preserve">  </w:t>
      </w:r>
      <w:r>
        <w:rPr>
          <w:rFonts w:hint="eastAsia"/>
          <w:sz w:val="15"/>
          <w:szCs w:val="15"/>
          <w:lang w:val="en-US" w:eastAsia="zh-CN"/>
        </w:rPr>
        <w:t>冀A37539D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