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肖利敏</w:t>
      </w:r>
      <w:r>
        <w:rPr>
          <w:rFonts w:hint="eastAsia"/>
          <w:sz w:val="15"/>
          <w:szCs w:val="15"/>
          <w:highlight w:val="none"/>
        </w:rPr>
        <w:t>，</w:t>
      </w:r>
      <w:r>
        <w:rPr>
          <w:rFonts w:hint="eastAsia"/>
          <w:sz w:val="15"/>
          <w:szCs w:val="15"/>
          <w:highlight w:val="none"/>
          <w:lang w:val="en-US" w:eastAsia="zh-CN"/>
        </w:rPr>
        <w:t>132336198002021412</w:t>
      </w:r>
      <w:r>
        <w:rPr>
          <w:rFonts w:hint="eastAsia"/>
          <w:sz w:val="15"/>
          <w:szCs w:val="15"/>
        </w:rPr>
        <w:t xml:space="preserve">  </w:t>
      </w:r>
      <w:r>
        <w:rPr>
          <w:rFonts w:hint="eastAsia"/>
          <w:sz w:val="15"/>
          <w:szCs w:val="15"/>
          <w:lang w:val="en-US" w:eastAsia="zh-CN"/>
        </w:rPr>
        <w:t>冀AYZ713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