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赵瑞明</w:t>
      </w:r>
      <w:r>
        <w:rPr>
          <w:rFonts w:hint="eastAsia"/>
          <w:sz w:val="15"/>
          <w:szCs w:val="15"/>
          <w:highlight w:val="none"/>
        </w:rPr>
        <w:t>，</w:t>
      </w:r>
      <w:r>
        <w:rPr>
          <w:rFonts w:hint="eastAsia"/>
          <w:sz w:val="15"/>
          <w:szCs w:val="15"/>
          <w:highlight w:val="none"/>
          <w:lang w:val="en-US" w:eastAsia="zh-CN"/>
        </w:rPr>
        <w:t>132336197905271311</w:t>
      </w:r>
      <w:r>
        <w:rPr>
          <w:rFonts w:hint="eastAsia"/>
          <w:sz w:val="15"/>
          <w:szCs w:val="15"/>
        </w:rPr>
        <w:t xml:space="preserve">  </w:t>
      </w:r>
      <w:r>
        <w:rPr>
          <w:rFonts w:hint="eastAsia"/>
          <w:sz w:val="15"/>
          <w:szCs w:val="15"/>
          <w:lang w:val="en-US" w:eastAsia="zh-CN"/>
        </w:rPr>
        <w:t>冀AKY251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