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李会丽</w:t>
      </w:r>
      <w:r>
        <w:rPr>
          <w:rFonts w:hint="eastAsia"/>
          <w:sz w:val="15"/>
          <w:szCs w:val="15"/>
          <w:highlight w:val="none"/>
        </w:rPr>
        <w:t>，</w:t>
      </w:r>
      <w:r>
        <w:rPr>
          <w:rFonts w:hint="eastAsia"/>
          <w:sz w:val="15"/>
          <w:szCs w:val="15"/>
          <w:highlight w:val="none"/>
          <w:lang w:val="en-US" w:eastAsia="zh-CN"/>
        </w:rPr>
        <w:t>132336197904141929</w:t>
      </w:r>
      <w:r>
        <w:rPr>
          <w:rFonts w:hint="eastAsia"/>
          <w:sz w:val="15"/>
          <w:szCs w:val="15"/>
        </w:rPr>
        <w:t xml:space="preserve">  </w:t>
      </w:r>
      <w:r>
        <w:rPr>
          <w:rFonts w:hint="eastAsia"/>
          <w:sz w:val="15"/>
          <w:szCs w:val="15"/>
          <w:lang w:val="en-US" w:eastAsia="zh-CN"/>
        </w:rPr>
        <w:t>冀A35571D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