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李盼岭</w:t>
      </w:r>
      <w:r>
        <w:rPr>
          <w:rFonts w:hint="eastAsia"/>
          <w:sz w:val="15"/>
          <w:szCs w:val="15"/>
          <w:highlight w:val="none"/>
        </w:rPr>
        <w:t>，</w:t>
      </w:r>
      <w:r>
        <w:rPr>
          <w:rFonts w:hint="eastAsia"/>
          <w:sz w:val="15"/>
          <w:szCs w:val="15"/>
          <w:highlight w:val="none"/>
          <w:lang w:val="en-US" w:eastAsia="zh-CN"/>
        </w:rPr>
        <w:t>132336197803031413</w:t>
      </w:r>
      <w:r>
        <w:rPr>
          <w:rFonts w:hint="eastAsia"/>
          <w:sz w:val="15"/>
          <w:szCs w:val="15"/>
        </w:rPr>
        <w:t xml:space="preserve">  </w:t>
      </w:r>
      <w:r>
        <w:rPr>
          <w:rFonts w:hint="eastAsia"/>
          <w:sz w:val="15"/>
          <w:szCs w:val="15"/>
          <w:lang w:val="en-US" w:eastAsia="zh-CN"/>
        </w:rPr>
        <w:t>冀A6580V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