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吕爱花</w:t>
      </w:r>
      <w:r>
        <w:rPr>
          <w:rFonts w:hint="eastAsia"/>
          <w:sz w:val="15"/>
          <w:szCs w:val="15"/>
          <w:highlight w:val="none"/>
        </w:rPr>
        <w:t>，</w:t>
      </w:r>
      <w:r>
        <w:rPr>
          <w:rFonts w:hint="eastAsia"/>
          <w:sz w:val="15"/>
          <w:szCs w:val="15"/>
          <w:highlight w:val="none"/>
          <w:lang w:val="en-US" w:eastAsia="zh-CN"/>
        </w:rPr>
        <w:t>132336197304280247</w:t>
      </w:r>
      <w:r>
        <w:rPr>
          <w:rFonts w:hint="eastAsia"/>
          <w:sz w:val="15"/>
          <w:szCs w:val="15"/>
        </w:rPr>
        <w:t xml:space="preserve">  </w:t>
      </w:r>
      <w:r>
        <w:rPr>
          <w:rFonts w:hint="eastAsia"/>
          <w:sz w:val="15"/>
          <w:szCs w:val="15"/>
          <w:lang w:val="en-US" w:eastAsia="zh-CN"/>
        </w:rPr>
        <w:t>冀ALB222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