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张新忠</w:t>
      </w:r>
      <w:r>
        <w:rPr>
          <w:rFonts w:hint="eastAsia"/>
          <w:sz w:val="15"/>
          <w:szCs w:val="15"/>
          <w:highlight w:val="none"/>
        </w:rPr>
        <w:t>，</w:t>
      </w:r>
      <w:r>
        <w:rPr>
          <w:rFonts w:hint="eastAsia"/>
          <w:sz w:val="15"/>
          <w:szCs w:val="15"/>
          <w:highlight w:val="none"/>
          <w:lang w:val="en-US" w:eastAsia="zh-CN"/>
        </w:rPr>
        <w:t>132336197209120712</w:t>
      </w:r>
      <w:r>
        <w:rPr>
          <w:rFonts w:hint="eastAsia"/>
          <w:sz w:val="15"/>
          <w:szCs w:val="15"/>
        </w:rPr>
        <w:t xml:space="preserve">  </w:t>
      </w:r>
      <w:r>
        <w:rPr>
          <w:rFonts w:hint="eastAsia"/>
          <w:sz w:val="15"/>
          <w:szCs w:val="15"/>
          <w:lang w:val="en-US" w:eastAsia="zh-CN"/>
        </w:rPr>
        <w:t>冀A35855D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