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杨建国</w:t>
      </w:r>
      <w:r>
        <w:rPr>
          <w:rFonts w:hint="eastAsia"/>
          <w:sz w:val="15"/>
          <w:szCs w:val="15"/>
          <w:highlight w:val="none"/>
        </w:rPr>
        <w:t>，</w:t>
      </w:r>
      <w:r>
        <w:rPr>
          <w:rFonts w:hint="eastAsia"/>
          <w:sz w:val="15"/>
          <w:szCs w:val="15"/>
          <w:highlight w:val="none"/>
          <w:lang w:val="en-US" w:eastAsia="zh-CN"/>
        </w:rPr>
        <w:t>132335197201091017</w:t>
      </w:r>
      <w:r>
        <w:rPr>
          <w:rFonts w:hint="eastAsia"/>
          <w:sz w:val="15"/>
          <w:szCs w:val="15"/>
        </w:rPr>
        <w:t xml:space="preserve">  </w:t>
      </w:r>
      <w:r>
        <w:rPr>
          <w:rFonts w:hint="eastAsia"/>
          <w:sz w:val="15"/>
          <w:szCs w:val="15"/>
          <w:lang w:val="en-US" w:eastAsia="zh-CN"/>
        </w:rPr>
        <w:t>冀A2675U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