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谷文建</w:t>
      </w:r>
      <w:r>
        <w:rPr>
          <w:rFonts w:hint="eastAsia"/>
          <w:sz w:val="15"/>
          <w:szCs w:val="15"/>
          <w:highlight w:val="none"/>
        </w:rPr>
        <w:t>，</w:t>
      </w:r>
      <w:r>
        <w:rPr>
          <w:rFonts w:hint="eastAsia"/>
          <w:sz w:val="15"/>
          <w:szCs w:val="15"/>
          <w:highlight w:val="none"/>
          <w:lang w:val="en-US" w:eastAsia="zh-CN"/>
        </w:rPr>
        <w:t>132335197109031716</w:t>
      </w:r>
      <w:r>
        <w:rPr>
          <w:rFonts w:hint="eastAsia"/>
          <w:sz w:val="15"/>
          <w:szCs w:val="15"/>
        </w:rPr>
        <w:t xml:space="preserve">  </w:t>
      </w:r>
      <w:r>
        <w:rPr>
          <w:rFonts w:hint="eastAsia"/>
          <w:sz w:val="15"/>
          <w:szCs w:val="15"/>
          <w:lang w:val="en-US" w:eastAsia="zh-CN"/>
        </w:rPr>
        <w:t>冀A7014X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