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孟爱霞</w:t>
      </w:r>
      <w:r>
        <w:rPr>
          <w:rFonts w:hint="eastAsia"/>
          <w:sz w:val="15"/>
          <w:szCs w:val="15"/>
          <w:highlight w:val="none"/>
        </w:rPr>
        <w:t>，</w:t>
      </w:r>
      <w:r>
        <w:rPr>
          <w:rFonts w:hint="eastAsia"/>
          <w:sz w:val="15"/>
          <w:szCs w:val="15"/>
          <w:highlight w:val="none"/>
          <w:lang w:val="en-US" w:eastAsia="zh-CN"/>
        </w:rPr>
        <w:t>131122198409262226</w:t>
      </w:r>
      <w:r>
        <w:rPr>
          <w:rFonts w:hint="eastAsia"/>
          <w:sz w:val="15"/>
          <w:szCs w:val="15"/>
        </w:rPr>
        <w:t xml:space="preserve">  </w:t>
      </w:r>
      <w:r>
        <w:rPr>
          <w:rFonts w:hint="eastAsia"/>
          <w:sz w:val="15"/>
          <w:szCs w:val="15"/>
          <w:lang w:val="en-US" w:eastAsia="zh-CN"/>
        </w:rPr>
        <w:t>冀TN5060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